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17/6/2025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Το…καφέ του δήμου μας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έτυχε θερμής ανταπόκρισης</w:t>
      </w:r>
      <w:r>
        <w:rPr>
          <w:b w:val="1"/>
          <w:bCs w:val="1"/>
          <w:sz w:val="26"/>
          <w:szCs w:val="26"/>
          <w:u w:val="single"/>
          <w:rtl w:val="0"/>
          <w:lang w:val="ru-RU"/>
        </w:rPr>
        <w:t xml:space="preserve">! </w:t>
      </w:r>
      <w:r>
        <w:rPr>
          <w:b w:val="1"/>
          <w:bCs w:val="1"/>
          <w:sz w:val="26"/>
          <w:szCs w:val="26"/>
          <w:u w:val="single"/>
          <w:rtl w:val="0"/>
        </w:rPr>
        <w:br w:type="textWrapping"/>
        <w:t>Η ανακύκλωση προχωρά και θα πετύχει</w:t>
      </w:r>
      <w:r>
        <w:rPr>
          <w:b w:val="1"/>
          <w:bCs w:val="1"/>
          <w:sz w:val="26"/>
          <w:szCs w:val="26"/>
          <w:u w:val="single"/>
          <w:rtl w:val="0"/>
          <w:lang w:val="ru-RU"/>
        </w:rPr>
        <w:t>!</w:t>
      </w:r>
      <w:r>
        <w:rPr>
          <w:b w:val="1"/>
          <w:bCs w:val="1"/>
          <w:sz w:val="26"/>
          <w:szCs w:val="26"/>
          <w:u w:val="single"/>
        </w:rPr>
        <w:br w:type="textWrapping"/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Μεγάλη συμμετοχή είχαν οι δύο ενημερωτικές συγκεντρώσεις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που οργάνωσε ο δήμος μας το Σαββατοκύριακο </w:t>
      </w:r>
      <w:r>
        <w:rPr>
          <w:sz w:val="26"/>
          <w:szCs w:val="26"/>
          <w:rtl w:val="0"/>
        </w:rPr>
        <w:t xml:space="preserve">14 </w:t>
      </w:r>
      <w:r>
        <w:rPr>
          <w:sz w:val="26"/>
          <w:szCs w:val="26"/>
          <w:rtl w:val="0"/>
        </w:rPr>
        <w:t xml:space="preserve">και </w:t>
      </w:r>
      <w:r>
        <w:rPr>
          <w:sz w:val="26"/>
          <w:szCs w:val="26"/>
          <w:rtl w:val="0"/>
        </w:rPr>
        <w:t xml:space="preserve">15 </w:t>
      </w:r>
      <w:r>
        <w:rPr>
          <w:sz w:val="26"/>
          <w:szCs w:val="26"/>
          <w:rtl w:val="0"/>
        </w:rPr>
        <w:t>Ιουνίου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στις πλατείες Ελένης Φωκά και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Αγίας Ελεούσης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>με θέμα την επέκταση των προγραμμάτων ανακύκλωσης και τη χρήση των καφέ κάδων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Οι πολίτες που προσήλθαν σε αυτήν την “διημερίδα ανακύκλωσης”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έλαβαν λίστα με τα οργανικά απόβλητα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και μικρούς καφέ κάδους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προκειμένου να τους χρησιμοποιήσουν στις οικείες τους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προσπάθεια αυτή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αγκαλιάστηκε με θέρμη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το ενδιαφέρον ήταν μεγάλο και όλοι αντιμετώπισαν πολύ θετικά την διεύρυνση της πολιτικής ανακύκλωσης του δήμου μας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jc w:val="both"/>
      </w:pPr>
      <w:r>
        <w:rPr>
          <w:sz w:val="26"/>
          <w:szCs w:val="26"/>
          <w:rtl w:val="0"/>
        </w:rPr>
        <w:t xml:space="preserve">Ο Δήμαρχος μας Λάμπρος Μίχος ανέφερε χαρακττηριστικά ότι </w:t>
      </w:r>
      <w:r>
        <w:rPr>
          <w:sz w:val="26"/>
          <w:szCs w:val="26"/>
          <w:rtl w:val="0"/>
        </w:rPr>
        <w:t>με την ενεργή συμμετοχή των δημοτών στην ανακύκλωση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μπορούσαν να εξοικονομηθούν σημαντικά οφέλη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όχι μόνο περιβαλλοντικά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αλλά και οικονομικά για το δήμο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αφού τα οργανικά απόβλητα αποτελούν το </w:t>
      </w:r>
      <w:r>
        <w:rPr>
          <w:sz w:val="26"/>
          <w:szCs w:val="26"/>
          <w:rtl w:val="0"/>
        </w:rPr>
        <w:t xml:space="preserve">40-45% </w:t>
      </w:r>
      <w:r>
        <w:rPr>
          <w:sz w:val="26"/>
          <w:szCs w:val="26"/>
          <w:rtl w:val="0"/>
        </w:rPr>
        <w:t>των απορριμμάτων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τα κάθε λογής χαρτιά περίπου το </w:t>
      </w:r>
      <w:r>
        <w:rPr>
          <w:sz w:val="26"/>
          <w:szCs w:val="26"/>
          <w:rtl w:val="0"/>
        </w:rPr>
        <w:t xml:space="preserve">22%, </w:t>
      </w:r>
      <w:r>
        <w:rPr>
          <w:sz w:val="26"/>
          <w:szCs w:val="26"/>
          <w:rtl w:val="0"/>
        </w:rPr>
        <w:t xml:space="preserve">τα πλαστικά το </w:t>
      </w:r>
      <w:r>
        <w:rPr>
          <w:sz w:val="26"/>
          <w:szCs w:val="26"/>
          <w:rtl w:val="0"/>
        </w:rPr>
        <w:t xml:space="preserve">12%, </w:t>
      </w:r>
      <w:r>
        <w:rPr>
          <w:sz w:val="26"/>
          <w:szCs w:val="26"/>
          <w:rtl w:val="0"/>
        </w:rPr>
        <w:t xml:space="preserve">ενώ </w:t>
      </w:r>
      <w:r>
        <w:rPr>
          <w:sz w:val="26"/>
          <w:szCs w:val="26"/>
          <w:rtl w:val="0"/>
        </w:rPr>
        <w:t xml:space="preserve">3-5% </w:t>
      </w:r>
      <w:r>
        <w:rPr>
          <w:sz w:val="26"/>
          <w:szCs w:val="26"/>
          <w:rtl w:val="0"/>
        </w:rPr>
        <w:t>των απορριμμάτων είναι από γυαλί και από αλουμίνιο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Είναι εφικτό να πηγαίνει για θάψιμο μόνο το </w:t>
      </w:r>
      <w:r>
        <w:rPr>
          <w:sz w:val="26"/>
          <w:szCs w:val="26"/>
          <w:rtl w:val="0"/>
        </w:rPr>
        <w:t xml:space="preserve">15% </w:t>
      </w:r>
      <w:r>
        <w:rPr>
          <w:sz w:val="26"/>
          <w:szCs w:val="26"/>
          <w:rtl w:val="0"/>
        </w:rPr>
        <w:t>των απορριμμάτων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θα συνεπάγεται σημαντικά καθαρότερη πόλη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σημαντική μείωση του κόστους αποκομιδής σκουπιδιών για τον Δήμο και κατ’ έπέκτασιν εξοικονόμηση χρημάτων προς διάθεση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την κάλυψη των υποχρεώσεων και</w:t>
      </w:r>
      <w:r>
        <w:rPr>
          <w:sz w:val="26"/>
          <w:szCs w:val="26"/>
          <w:rtl w:val="0"/>
        </w:rPr>
        <w:t xml:space="preserve"> οπωσδήποτε τεράστια συμβολή στην προστασία του περιβάλλοντος</w:t>
      </w:r>
      <w:r>
        <w:rPr>
          <w:sz w:val="26"/>
          <w:szCs w:val="26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