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</w:t>
      </w:r>
      <w:r w:rsidR="00DC660A">
        <w:rPr>
          <w:rFonts w:asciiTheme="minorHAnsi" w:hAnsiTheme="minorHAnsi" w:cs="Arial"/>
          <w:b/>
          <w:bCs/>
        </w:rPr>
        <w:t>–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857AB7">
        <w:rPr>
          <w:rFonts w:asciiTheme="minorHAnsi" w:hAnsiTheme="minorHAnsi" w:cs="Arial"/>
          <w:b/>
          <w:bCs/>
        </w:rPr>
        <w:t>ΙΟΥΛΙΟΣ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857AB7">
        <w:rPr>
          <w:rFonts w:asciiTheme="minorHAnsi" w:hAnsiTheme="minorHAnsi" w:cs="Arial"/>
        </w:rPr>
        <w:t>14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857AB7">
        <w:rPr>
          <w:rFonts w:asciiTheme="minorHAnsi" w:hAnsiTheme="minorHAnsi" w:cs="Arial"/>
        </w:rPr>
        <w:t>28</w:t>
      </w:r>
      <w:r w:rsidR="00D3138E">
        <w:rPr>
          <w:rFonts w:asciiTheme="minorHAnsi" w:hAnsiTheme="minorHAnsi" w:cs="Arial"/>
        </w:rPr>
        <w:t xml:space="preserve"> </w:t>
      </w:r>
      <w:r w:rsidR="00857AB7">
        <w:rPr>
          <w:rFonts w:asciiTheme="minorHAnsi" w:hAnsiTheme="minorHAnsi" w:cs="Arial"/>
        </w:rPr>
        <w:t>Ιουλίου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857AB7">
        <w:rPr>
          <w:rFonts w:asciiTheme="minorHAnsi" w:hAnsiTheme="minorHAnsi" w:cs="Arial"/>
        </w:rPr>
        <w:t xml:space="preserve">, είδη βασικής υλικής συνδρομής </w:t>
      </w:r>
      <w:r w:rsidR="00DC660A">
        <w:rPr>
          <w:rFonts w:asciiTheme="minorHAnsi" w:hAnsiTheme="minorHAnsi" w:cs="Arial"/>
        </w:rPr>
        <w:t xml:space="preserve"> </w:t>
      </w:r>
      <w:r w:rsidR="00BE606E">
        <w:rPr>
          <w:rFonts w:asciiTheme="minorHAnsi" w:hAnsiTheme="minorHAnsi" w:cs="Arial"/>
        </w:rPr>
        <w:t xml:space="preserve">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7F2946">
        <w:rPr>
          <w:rFonts w:asciiTheme="minorHAnsi" w:eastAsia="Times New Roman" w:hAnsiTheme="minorHAnsi" w:cs="Arial"/>
          <w:color w:val="333333"/>
        </w:rPr>
        <w:t>Ιούλιο</w:t>
      </w:r>
      <w:r w:rsidR="001771F4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FE08F7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D04E23" w:rsidRPr="00D04E23">
        <w:rPr>
          <w:rFonts w:asciiTheme="minorHAnsi" w:eastAsia="Times New Roman" w:hAnsiTheme="minorHAnsi" w:cs="Arial"/>
          <w:color w:val="333333"/>
        </w:rPr>
        <w:t>78</w:t>
      </w:r>
      <w:r w:rsidR="00D04E23" w:rsidRPr="00C92DDB">
        <w:rPr>
          <w:rFonts w:asciiTheme="minorHAnsi" w:eastAsia="Times New Roman" w:hAnsiTheme="minorHAnsi" w:cs="Arial"/>
          <w:color w:val="333333"/>
        </w:rPr>
        <w:t>7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C33C8B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νωπών τροφίμων (βόειο κρέας, τυρί φέτα, πατάτες, μήλα, πορτοκάλια)</w:t>
      </w:r>
      <w:r w:rsidR="002C53B3">
        <w:rPr>
          <w:rFonts w:asciiTheme="minorHAnsi" w:hAnsiTheme="minorHAnsi" w:cs="Arial"/>
        </w:rPr>
        <w:t>, κάποια από αυτά σε διπλάσιες ποσότητες</w:t>
      </w:r>
    </w:p>
    <w:p w:rsidR="00FE08F7" w:rsidRDefault="0063384F" w:rsidP="00DC660A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 ξηρών τροφίμων (ζυμαρικά,</w:t>
      </w:r>
      <w:r>
        <w:rPr>
          <w:rFonts w:asciiTheme="minorHAnsi" w:hAnsiTheme="minorHAnsi" w:cs="Arial"/>
        </w:rPr>
        <w:t xml:space="preserve"> ρύζι, </w:t>
      </w:r>
      <w:r w:rsidR="004D5817" w:rsidRPr="0011270D">
        <w:rPr>
          <w:rFonts w:asciiTheme="minorHAnsi" w:hAnsiTheme="minorHAnsi" w:cs="Arial"/>
        </w:rPr>
        <w:t>φασόλια,</w:t>
      </w:r>
      <w:r>
        <w:rPr>
          <w:rFonts w:asciiTheme="minorHAnsi" w:hAnsiTheme="minorHAnsi" w:cs="Arial"/>
        </w:rPr>
        <w:t xml:space="preserve"> φακές,</w:t>
      </w:r>
      <w:r w:rsidR="004D5817" w:rsidRPr="0011270D">
        <w:rPr>
          <w:rFonts w:asciiTheme="minorHAnsi" w:hAnsiTheme="minorHAnsi" w:cs="Arial"/>
        </w:rPr>
        <w:t xml:space="preserve"> γάλα εβαπορέ, ελαιόλαδο, αλεύρι, ζάχαρη, χυμός τομάτας)</w:t>
      </w:r>
      <w:r w:rsidR="002C53B3">
        <w:rPr>
          <w:rFonts w:asciiTheme="minorHAnsi" w:hAnsiTheme="minorHAnsi" w:cs="Arial"/>
        </w:rPr>
        <w:t xml:space="preserve"> σε διπλάσιες ποσότητες και το ελαιόλαδο σε τριπλάσια ποσότητα</w:t>
      </w:r>
    </w:p>
    <w:p w:rsidR="00AB5338" w:rsidRPr="00AB5338" w:rsidRDefault="00AB5338" w:rsidP="00AB5338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AB5338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AB5338" w:rsidRPr="00DC660A" w:rsidRDefault="00AB5338" w:rsidP="00AB5338">
      <w:pPr>
        <w:pStyle w:val="Standard"/>
        <w:jc w:val="both"/>
        <w:rPr>
          <w:rFonts w:asciiTheme="minorHAnsi" w:hAnsiTheme="minorHAnsi" w:cs="Arial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</w:t>
      </w:r>
      <w:r w:rsidR="00AB5338">
        <w:rPr>
          <w:rFonts w:asciiTheme="minorHAnsi" w:hAnsiTheme="minorHAnsi" w:cs="Arial"/>
        </w:rPr>
        <w:t xml:space="preserve"> σε μεγάλες ποσότητες.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8B1" w:rsidRDefault="00FC08B1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Δήμος Αγ. Αναργύρων-Καματερού </w:t>
            </w:r>
          </w:p>
          <w:p w:rsidR="005B4784" w:rsidRPr="00870D1A" w:rsidRDefault="005B4784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FC08B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14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8B1" w:rsidRDefault="00FC08B1" w:rsidP="00DC660A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FC08B1">
              <w:rPr>
                <w:rFonts w:asciiTheme="minorHAnsi" w:hAnsiTheme="minorHAnsi"/>
              </w:rPr>
              <w:t xml:space="preserve">Κάδμου &amp; Ολύμπου, Καματερό </w:t>
            </w:r>
          </w:p>
          <w:p w:rsidR="005B4784" w:rsidRPr="00870D1A" w:rsidRDefault="005B4784" w:rsidP="005525C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674D" w:rsidRDefault="00FE08F7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  <w:r w:rsidR="00FC08B1">
              <w:t xml:space="preserve"> </w:t>
            </w:r>
            <w:r w:rsidR="00FC08B1" w:rsidRPr="00FC08B1">
              <w:rPr>
                <w:rFonts w:asciiTheme="minorHAnsi" w:eastAsia="Times New Roman" w:hAnsiTheme="minorHAnsi" w:cs="Arial"/>
              </w:rPr>
              <w:t>Δήμος Πετρούπολης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FC08B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 w:rsidR="001E4C45"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FC08B1" w:rsidP="00FC08B1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FC08B1">
              <w:rPr>
                <w:rFonts w:asciiTheme="minorHAnsi" w:hAnsiTheme="minorHAnsi"/>
              </w:rPr>
              <w:t xml:space="preserve">Κλειστό Γυμναστήριο Ν. </w:t>
            </w:r>
            <w:proofErr w:type="spellStart"/>
            <w:r w:rsidRPr="00FC08B1">
              <w:rPr>
                <w:rFonts w:asciiTheme="minorHAnsi" w:hAnsiTheme="minorHAnsi"/>
              </w:rPr>
              <w:t>Παξιμαδάς</w:t>
            </w:r>
            <w:proofErr w:type="spellEnd"/>
            <w:r w:rsidRPr="00FC08B1">
              <w:rPr>
                <w:rFonts w:asciiTheme="minorHAnsi" w:hAnsiTheme="minorHAnsi"/>
              </w:rPr>
              <w:t>, Κ. Βάρναλη &amp; Βέργας, Πετρούπολη</w:t>
            </w: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FC08B1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FC08B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17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4651D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 w:rsidR="002C2477">
              <w:rPr>
                <w:rFonts w:asciiTheme="minorHAnsi" w:eastAsia="Times New Roman" w:hAnsiTheme="minorHAnsi" w:cs="Arial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8B1" w:rsidRDefault="00FC08B1" w:rsidP="00090B7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Ι.Ν. Παμμεγίστων Ταξιαρχών, </w:t>
            </w:r>
            <w:proofErr w:type="spellStart"/>
            <w:r w:rsidRPr="00FC08B1">
              <w:rPr>
                <w:rFonts w:asciiTheme="minorHAnsi" w:eastAsia="Times New Roman" w:hAnsiTheme="minorHAnsi" w:cs="Arial"/>
              </w:rPr>
              <w:t>Μάσχα</w:t>
            </w:r>
            <w:proofErr w:type="spellEnd"/>
            <w:r w:rsidRPr="00FC08B1">
              <w:rPr>
                <w:rFonts w:asciiTheme="minorHAnsi" w:eastAsia="Times New Roman" w:hAnsiTheme="minorHAnsi" w:cs="Arial"/>
              </w:rPr>
              <w:t xml:space="preserve"> Περιστερίου </w:t>
            </w:r>
          </w:p>
          <w:p w:rsidR="005B4784" w:rsidRPr="005B4784" w:rsidRDefault="005B4784" w:rsidP="005525C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FC08B1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Δήμος  Ιλίου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FC08B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18 &amp; 19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90B7A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:00-1</w:t>
            </w:r>
            <w:r w:rsidR="00216F17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5CD" w:rsidRDefault="005525CD" w:rsidP="00DC660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Αίαντος 59, Ίλιον (πλησίον Δημαρχείου)</w:t>
            </w:r>
          </w:p>
          <w:p w:rsidR="005B4784" w:rsidRPr="00260725" w:rsidRDefault="005B4784" w:rsidP="005525CD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Δήμος 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525C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5525CD">
              <w:rPr>
                <w:rFonts w:asciiTheme="minorHAnsi" w:eastAsia="Times New Roman" w:hAnsiTheme="minorHAnsi" w:cs="Arial"/>
              </w:rPr>
              <w:t>4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5525CD">
              <w:rPr>
                <w:rFonts w:asciiTheme="minorHAnsi" w:hAnsiTheme="minorHAnsi"/>
              </w:rPr>
              <w:t xml:space="preserve">1ο Γυμνάσιο, Θηβών &amp; </w:t>
            </w:r>
            <w:proofErr w:type="spellStart"/>
            <w:r w:rsidRPr="005525CD">
              <w:rPr>
                <w:rFonts w:asciiTheme="minorHAnsi" w:hAnsiTheme="minorHAnsi"/>
              </w:rPr>
              <w:t>Μοσχονησίων</w:t>
            </w:r>
            <w:proofErr w:type="spellEnd"/>
            <w:r w:rsidRPr="005525CD">
              <w:rPr>
                <w:rFonts w:asciiTheme="minorHAnsi" w:hAnsiTheme="minorHAnsi"/>
              </w:rPr>
              <w:t xml:space="preserve"> 23 - 39, Αιγάλεω</w:t>
            </w: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525C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 xml:space="preserve">Δήμος  Περιστερίου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21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7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525CD" w:rsidRPr="005525CD">
              <w:rPr>
                <w:rFonts w:asciiTheme="minorHAnsi" w:eastAsia="Times New Roman" w:hAnsiTheme="minorHAnsi" w:cs="Arial"/>
              </w:rPr>
              <w:t>09:00 – 14:00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5CD" w:rsidRDefault="005525CD" w:rsidP="003246F2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5525CD">
              <w:rPr>
                <w:rFonts w:asciiTheme="minorHAnsi" w:hAnsiTheme="minorHAnsi" w:cs="Arial"/>
              </w:rPr>
              <w:t xml:space="preserve">Εκθεσιακό κέντρο Δ. Περιστερίου, Δωδεκανήσου 106, Περιστέρι </w:t>
            </w:r>
          </w:p>
          <w:p w:rsidR="005B4784" w:rsidRPr="00B21635" w:rsidRDefault="005B4784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5525CD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 xml:space="preserve">Δήμος </w:t>
            </w:r>
            <w:r w:rsidR="00EA5242">
              <w:rPr>
                <w:rFonts w:asciiTheme="minorHAnsi" w:eastAsia="Times New Roman" w:hAnsiTheme="minorHAnsi" w:cs="Arial"/>
              </w:rPr>
              <w:t xml:space="preserve"> </w:t>
            </w:r>
            <w:r w:rsidRPr="005525CD">
              <w:rPr>
                <w:rFonts w:asciiTheme="minorHAnsi" w:eastAsia="Times New Roman" w:hAnsiTheme="minorHAnsi" w:cs="Arial"/>
              </w:rPr>
              <w:t>Κορυδαλλού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525C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5525CD" w:rsidP="00FC08B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5525CD">
              <w:rPr>
                <w:rFonts w:asciiTheme="minorHAnsi" w:eastAsia="Times New Roman" w:hAnsiTheme="minorHAnsi" w:cs="Arial"/>
                <w:color w:val="333333"/>
              </w:rPr>
              <w:t xml:space="preserve">Γήπεδο </w:t>
            </w:r>
            <w:proofErr w:type="spellStart"/>
            <w:r w:rsidRPr="005525CD">
              <w:rPr>
                <w:rFonts w:asciiTheme="minorHAnsi" w:eastAsia="Times New Roman" w:hAnsiTheme="minorHAnsi" w:cs="Arial"/>
                <w:color w:val="333333"/>
              </w:rPr>
              <w:t>Πούτος</w:t>
            </w:r>
            <w:proofErr w:type="spellEnd"/>
            <w:r w:rsidRPr="005525CD">
              <w:rPr>
                <w:rFonts w:asciiTheme="minorHAnsi" w:eastAsia="Times New Roman" w:hAnsiTheme="minorHAnsi" w:cs="Arial"/>
                <w:color w:val="333333"/>
              </w:rPr>
              <w:t>, Σολωμού 2-4, Κορυδαλλός</w:t>
            </w: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5525CD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Δήμος  Χαϊδαρίου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5525C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26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2C2477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525C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Δημαρχείο Χαϊδαρίου, οδός Φιλοπάππου &amp; Επαύλεως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I.M.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5525C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C942EB">
              <w:rPr>
                <w:rFonts w:asciiTheme="minorHAnsi" w:eastAsia="Times New Roman" w:hAnsiTheme="minorHAnsi" w:cs="Arial"/>
                <w:b/>
                <w:bCs/>
                <w:color w:val="333333"/>
              </w:rPr>
              <w:t>6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C942EB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bookmarkStart w:id="0" w:name="_GoBack"/>
            <w:bookmarkEnd w:id="0"/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5525CD">
              <w:rPr>
                <w:rFonts w:asciiTheme="minorHAnsi" w:hAnsiTheme="minorHAnsi"/>
              </w:rPr>
              <w:t>Παπάγου &amp; Αγίου Γεωργίου 5, Καματερό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525CD">
              <w:rPr>
                <w:rFonts w:asciiTheme="minorHAnsi" w:eastAsia="Times New Roman" w:hAnsiTheme="minorHAnsi" w:cs="Arial"/>
              </w:rPr>
              <w:t>Δήμος   Αγίας Βαρβάρας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A23598" w:rsidRDefault="00A2359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B27C0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8:3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DE69F8" w:rsidRDefault="005525CD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5525CD">
              <w:rPr>
                <w:rFonts w:asciiTheme="minorHAnsi" w:eastAsia="Times New Roman" w:hAnsiTheme="minorHAnsi" w:cs="Arial"/>
                <w:color w:val="333333"/>
              </w:rPr>
              <w:t>Παλαιό Εργοστάσιο ΒΙΟΧΡΩΜ, Ελ . Βενιζέλου 3, Αγία Βαρβάρα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A3" w:rsidRDefault="00191EA3">
      <w:r>
        <w:separator/>
      </w:r>
    </w:p>
  </w:endnote>
  <w:endnote w:type="continuationSeparator" w:id="0">
    <w:p w:rsidR="00191EA3" w:rsidRDefault="0019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jc w:val="center"/>
      <w:tblLook w:val="04A0"/>
    </w:tblPr>
    <w:tblGrid>
      <w:gridCol w:w="3708"/>
      <w:gridCol w:w="2735"/>
      <w:gridCol w:w="2526"/>
    </w:tblGrid>
    <w:tr w:rsidR="00C92DDB" w:rsidRPr="00C92DDB" w:rsidTr="00BB1E5B">
      <w:trPr>
        <w:trHeight w:val="1321"/>
        <w:jc w:val="center"/>
      </w:trPr>
      <w:tc>
        <w:tcPr>
          <w:tcW w:w="3708" w:type="dxa"/>
          <w:shd w:val="clear" w:color="auto" w:fill="auto"/>
        </w:tcPr>
        <w:p w:rsidR="00C92DDB" w:rsidRPr="00C92DDB" w:rsidRDefault="00B27C0A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bookmarkStart w:id="1" w:name="_Hlk108791011"/>
          <w:r w:rsidRPr="00BF3000">
            <w:rPr>
              <w:rFonts w:eastAsia="Times New Roman"/>
              <w:color w:val="000000"/>
              <w:sz w:val="10"/>
              <w:szCs w:val="1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0pt" fillcolor="window">
                <v:imagedata r:id="rId1" o:title="" croptop="-2062f" cropleft="7864f"/>
              </v:shape>
            </w:pic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735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6080" cy="379730"/>
                <wp:effectExtent l="0" t="0" r="0" b="1270"/>
                <wp:docPr id="4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C942EB" w:rsidRDefault="00C942EB" w:rsidP="00C942EB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C92DDB" w:rsidRDefault="00C92DD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Pr="00C92DD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</w:tc>
      <w:tc>
        <w:tcPr>
          <w:tcW w:w="2526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2740"/>
                <wp:effectExtent l="0" t="0" r="9525" b="0"/>
                <wp:docPr id="3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  <w:bookmarkEnd w:id="1"/>
  </w:tbl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A3" w:rsidRDefault="00191EA3">
      <w:r>
        <w:separator/>
      </w:r>
    </w:p>
  </w:footnote>
  <w:footnote w:type="continuationSeparator" w:id="0">
    <w:p w:rsidR="00191EA3" w:rsidRDefault="0019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C6CFD"/>
    <w:rsid w:val="0011270D"/>
    <w:rsid w:val="00143D2F"/>
    <w:rsid w:val="00145027"/>
    <w:rsid w:val="0015723D"/>
    <w:rsid w:val="00164AC3"/>
    <w:rsid w:val="00171704"/>
    <w:rsid w:val="001771F4"/>
    <w:rsid w:val="00191EA3"/>
    <w:rsid w:val="001A2EAD"/>
    <w:rsid w:val="001A51C0"/>
    <w:rsid w:val="001B7AB5"/>
    <w:rsid w:val="001E4C45"/>
    <w:rsid w:val="001E699F"/>
    <w:rsid w:val="001F3C64"/>
    <w:rsid w:val="00216F17"/>
    <w:rsid w:val="0028056A"/>
    <w:rsid w:val="002C2477"/>
    <w:rsid w:val="002C53B3"/>
    <w:rsid w:val="002E3FDB"/>
    <w:rsid w:val="00316D40"/>
    <w:rsid w:val="003223BF"/>
    <w:rsid w:val="003246F2"/>
    <w:rsid w:val="0034014F"/>
    <w:rsid w:val="0037631D"/>
    <w:rsid w:val="003B34C9"/>
    <w:rsid w:val="003D2977"/>
    <w:rsid w:val="004651DD"/>
    <w:rsid w:val="00467D31"/>
    <w:rsid w:val="00494184"/>
    <w:rsid w:val="004A67E3"/>
    <w:rsid w:val="004D5817"/>
    <w:rsid w:val="004D7097"/>
    <w:rsid w:val="004E2D07"/>
    <w:rsid w:val="004E7A87"/>
    <w:rsid w:val="0050162A"/>
    <w:rsid w:val="00534FC3"/>
    <w:rsid w:val="005525CD"/>
    <w:rsid w:val="005A0687"/>
    <w:rsid w:val="005A5713"/>
    <w:rsid w:val="005B4784"/>
    <w:rsid w:val="005D1F49"/>
    <w:rsid w:val="0063384F"/>
    <w:rsid w:val="006B71B5"/>
    <w:rsid w:val="007162E1"/>
    <w:rsid w:val="00720DD7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2946"/>
    <w:rsid w:val="007F5D4D"/>
    <w:rsid w:val="00837FAE"/>
    <w:rsid w:val="00857AB7"/>
    <w:rsid w:val="00880EC0"/>
    <w:rsid w:val="0091704A"/>
    <w:rsid w:val="00922188"/>
    <w:rsid w:val="00923EFA"/>
    <w:rsid w:val="0093466E"/>
    <w:rsid w:val="00957515"/>
    <w:rsid w:val="009A0CF9"/>
    <w:rsid w:val="009D4F9C"/>
    <w:rsid w:val="00A23598"/>
    <w:rsid w:val="00AB5338"/>
    <w:rsid w:val="00AD4296"/>
    <w:rsid w:val="00B21635"/>
    <w:rsid w:val="00B27C0A"/>
    <w:rsid w:val="00B30BCA"/>
    <w:rsid w:val="00B35610"/>
    <w:rsid w:val="00B37AA1"/>
    <w:rsid w:val="00B736B7"/>
    <w:rsid w:val="00BB1E5B"/>
    <w:rsid w:val="00BD3AE7"/>
    <w:rsid w:val="00BE606E"/>
    <w:rsid w:val="00BE6323"/>
    <w:rsid w:val="00BF3000"/>
    <w:rsid w:val="00C06307"/>
    <w:rsid w:val="00C33C8B"/>
    <w:rsid w:val="00C669BB"/>
    <w:rsid w:val="00C86B20"/>
    <w:rsid w:val="00C92DDB"/>
    <w:rsid w:val="00C942EB"/>
    <w:rsid w:val="00CC4BD9"/>
    <w:rsid w:val="00CF612E"/>
    <w:rsid w:val="00D04E23"/>
    <w:rsid w:val="00D1232F"/>
    <w:rsid w:val="00D3138E"/>
    <w:rsid w:val="00D36344"/>
    <w:rsid w:val="00D57C92"/>
    <w:rsid w:val="00D61CC1"/>
    <w:rsid w:val="00D7740B"/>
    <w:rsid w:val="00DA083F"/>
    <w:rsid w:val="00DB25E8"/>
    <w:rsid w:val="00DC660A"/>
    <w:rsid w:val="00DE674D"/>
    <w:rsid w:val="00DE69F8"/>
    <w:rsid w:val="00E0738A"/>
    <w:rsid w:val="00E143D2"/>
    <w:rsid w:val="00E23A5B"/>
    <w:rsid w:val="00E67958"/>
    <w:rsid w:val="00E710AC"/>
    <w:rsid w:val="00E75EA9"/>
    <w:rsid w:val="00E8394B"/>
    <w:rsid w:val="00E8598E"/>
    <w:rsid w:val="00E95D3A"/>
    <w:rsid w:val="00EA5242"/>
    <w:rsid w:val="00EC021C"/>
    <w:rsid w:val="00ED602E"/>
    <w:rsid w:val="00FC08B1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F3000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3000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BF3000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C94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27C0A"/>
    <w:rPr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27C0A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Γεωργακόπουλος Χρήστος</dc:creator>
  <cp:lastModifiedBy>fotinis</cp:lastModifiedBy>
  <cp:revision>3</cp:revision>
  <cp:lastPrinted>2022-11-29T08:49:00Z</cp:lastPrinted>
  <dcterms:created xsi:type="dcterms:W3CDTF">2023-06-29T09:38:00Z</dcterms:created>
  <dcterms:modified xsi:type="dcterms:W3CDTF">2023-07-21T10:10:00Z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